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DD2ADE" w14:paraId="3269EE4B" w14:textId="77777777">
      <w:pPr>
        <w:pStyle w:val="Title"/>
        <w:spacing w:after="60"/>
      </w:pPr>
      <w:r>
        <w:t>AI &amp; Information Management Community of Practice</w:t>
      </w:r>
    </w:p>
    <w:p w:rsidR="00DD2ADE" w14:paraId="24E7848C" w14:textId="77777777">
      <w:pPr>
        <w:pStyle w:val="Heading1"/>
        <w:spacing w:after="300"/>
      </w:pPr>
      <w:r>
        <w:t>Launch Poll Results — 20 May 2026</w:t>
      </w:r>
    </w:p>
    <w:p w:rsidR="00DD2ADE" w14:paraId="60D4A568" w14:textId="77777777">
      <w:pPr>
        <w:spacing w:after="160"/>
      </w:pPr>
      <w:r>
        <w:t>Five poll questions were put to attendees at the CoP launch session. This document summarises the responses, including counts and percentages for each multiple-choice option, and the key themes from the open-text question.</w:t>
      </w:r>
    </w:p>
    <w:p w:rsidR="00DD2ADE" w14:paraId="58DA699C" w14:textId="77777777">
      <w:pPr>
        <w:pStyle w:val="Heading2"/>
        <w:spacing w:before="300" w:after="120"/>
      </w:pPr>
      <w:r>
        <w:t>1. What would you most like this Community of Practice to help you with?</w:t>
      </w:r>
    </w:p>
    <w:p w:rsidR="00DD2ADE" w14:paraId="4E1275EA" w14:textId="77777777">
      <w:pPr>
        <w:spacing w:after="160"/>
      </w:pPr>
      <w:r>
        <w:t>13 respondents, multiple selections allowed.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000"/>
        <w:gridCol w:w="1500"/>
        <w:gridCol w:w="1500"/>
      </w:tblGrid>
      <w:tr w14:paraId="797D88F9" w14:textId="77777777">
        <w:tblPrEx>
          <w:tblW w:w="90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blHeader/>
        </w:trPr>
        <w:tc>
          <w:tcPr>
            <w:tcW w:w="6000" w:type="dxa"/>
            <w:shd w:val="clear" w:color="auto" w:fill="2F5496"/>
          </w:tcPr>
          <w:p w:rsidR="00DD2ADE" w14:paraId="35426F98" w14:textId="77777777">
            <w:r>
              <w:rPr>
                <w:b/>
                <w:bCs/>
                <w:color w:val="FFFFFF"/>
              </w:rPr>
              <w:t>Response</w:t>
            </w:r>
          </w:p>
        </w:tc>
        <w:tc>
          <w:tcPr>
            <w:tcW w:w="1500" w:type="dxa"/>
            <w:shd w:val="clear" w:color="auto" w:fill="2F5496"/>
          </w:tcPr>
          <w:p w:rsidR="00DD2ADE" w14:paraId="50BFEF09" w14:textId="77777777">
            <w:r>
              <w:rPr>
                <w:b/>
                <w:bCs/>
                <w:color w:val="FFFFFF"/>
              </w:rPr>
              <w:t>Votes</w:t>
            </w:r>
          </w:p>
        </w:tc>
        <w:tc>
          <w:tcPr>
            <w:tcW w:w="1500" w:type="dxa"/>
            <w:shd w:val="clear" w:color="auto" w:fill="2F5496"/>
          </w:tcPr>
          <w:p w:rsidR="00DD2ADE" w14:paraId="6E421DC9" w14:textId="77777777">
            <w:r>
              <w:rPr>
                <w:b/>
                <w:bCs/>
                <w:color w:val="FFFFFF"/>
              </w:rPr>
              <w:t>%</w:t>
            </w:r>
          </w:p>
        </w:tc>
      </w:tr>
      <w:tr w14:paraId="0319CDD0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5FFCBA75" w14:textId="77777777">
            <w:r>
              <w:t>Applying governance and recordkeeping principles to AI</w:t>
            </w:r>
          </w:p>
        </w:tc>
        <w:tc>
          <w:tcPr>
            <w:tcW w:w="1500" w:type="dxa"/>
          </w:tcPr>
          <w:p w:rsidR="00DD2ADE" w14:paraId="7D89FA09" w14:textId="77777777">
            <w:pPr>
              <w:jc w:val="center"/>
            </w:pPr>
            <w:r>
              <w:t>11</w:t>
            </w:r>
          </w:p>
        </w:tc>
        <w:tc>
          <w:tcPr>
            <w:tcW w:w="1500" w:type="dxa"/>
          </w:tcPr>
          <w:p w:rsidR="00DD2ADE" w14:paraId="314A1BD0" w14:textId="77777777">
            <w:pPr>
              <w:jc w:val="center"/>
            </w:pPr>
            <w:r>
              <w:t>85%</w:t>
            </w:r>
          </w:p>
        </w:tc>
      </w:tr>
      <w:tr w14:paraId="3168979D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0FF95079" w14:textId="77777777">
            <w:r>
              <w:t>Shared tools, checklists, or guidance</w:t>
            </w:r>
          </w:p>
        </w:tc>
        <w:tc>
          <w:tcPr>
            <w:tcW w:w="1500" w:type="dxa"/>
          </w:tcPr>
          <w:p w:rsidR="00DD2ADE" w14:paraId="6A90F65E" w14:textId="77777777">
            <w:pPr>
              <w:jc w:val="center"/>
            </w:pPr>
            <w:r>
              <w:t>9</w:t>
            </w:r>
          </w:p>
        </w:tc>
        <w:tc>
          <w:tcPr>
            <w:tcW w:w="1500" w:type="dxa"/>
          </w:tcPr>
          <w:p w:rsidR="00DD2ADE" w14:paraId="56485EC5" w14:textId="77777777">
            <w:pPr>
              <w:jc w:val="center"/>
            </w:pPr>
            <w:r>
              <w:t>69%</w:t>
            </w:r>
          </w:p>
        </w:tc>
      </w:tr>
      <w:tr w14:paraId="70027F44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148D3908" w14:textId="77777777">
            <w:r>
              <w:t>Confidence in advising or challenging AI initiatives</w:t>
            </w:r>
          </w:p>
        </w:tc>
        <w:tc>
          <w:tcPr>
            <w:tcW w:w="1500" w:type="dxa"/>
          </w:tcPr>
          <w:p w:rsidR="00DD2ADE" w14:paraId="08D196F7" w14:textId="77777777">
            <w:pPr>
              <w:jc w:val="center"/>
            </w:pPr>
            <w:r>
              <w:t>8</w:t>
            </w:r>
          </w:p>
        </w:tc>
        <w:tc>
          <w:tcPr>
            <w:tcW w:w="1500" w:type="dxa"/>
          </w:tcPr>
          <w:p w:rsidR="00DD2ADE" w14:paraId="6B9937E7" w14:textId="77777777">
            <w:pPr>
              <w:jc w:val="center"/>
            </w:pPr>
            <w:r>
              <w:t>62%</w:t>
            </w:r>
          </w:p>
        </w:tc>
      </w:tr>
      <w:tr w14:paraId="3F8B9626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2AD958B4" w14:textId="77777777">
            <w:r>
              <w:t>Networking and peer learning</w:t>
            </w:r>
          </w:p>
        </w:tc>
        <w:tc>
          <w:tcPr>
            <w:tcW w:w="1500" w:type="dxa"/>
          </w:tcPr>
          <w:p w:rsidR="00DD2ADE" w14:paraId="6F2CB4C0" w14:textId="77777777">
            <w:pPr>
              <w:jc w:val="center"/>
            </w:pPr>
            <w:r>
              <w:t>6</w:t>
            </w:r>
          </w:p>
        </w:tc>
        <w:tc>
          <w:tcPr>
            <w:tcW w:w="1500" w:type="dxa"/>
          </w:tcPr>
          <w:p w:rsidR="00DD2ADE" w14:paraId="211F0EE8" w14:textId="77777777">
            <w:pPr>
              <w:jc w:val="center"/>
            </w:pPr>
            <w:r>
              <w:t>46%</w:t>
            </w:r>
          </w:p>
        </w:tc>
      </w:tr>
      <w:tr w14:paraId="56EA5168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690C0EA9" w14:textId="77777777">
            <w:r>
              <w:t>Practical use cases and case studies</w:t>
            </w:r>
          </w:p>
        </w:tc>
        <w:tc>
          <w:tcPr>
            <w:tcW w:w="1500" w:type="dxa"/>
          </w:tcPr>
          <w:p w:rsidR="00DD2ADE" w14:paraId="0E9B67F4" w14:textId="77777777">
            <w:pPr>
              <w:jc w:val="center"/>
            </w:pPr>
            <w:r>
              <w:t>5</w:t>
            </w:r>
          </w:p>
        </w:tc>
        <w:tc>
          <w:tcPr>
            <w:tcW w:w="1500" w:type="dxa"/>
          </w:tcPr>
          <w:p w:rsidR="00DD2ADE" w14:paraId="7AEFA719" w14:textId="77777777">
            <w:pPr>
              <w:jc w:val="center"/>
            </w:pPr>
            <w:r>
              <w:t>38%</w:t>
            </w:r>
          </w:p>
        </w:tc>
      </w:tr>
      <w:tr w14:paraId="16D334BC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7641EF33" w14:textId="77777777">
            <w:r>
              <w:t>Understanding AI fundamentals (terminology, concepts)</w:t>
            </w:r>
          </w:p>
        </w:tc>
        <w:tc>
          <w:tcPr>
            <w:tcW w:w="1500" w:type="dxa"/>
          </w:tcPr>
          <w:p w:rsidR="00DD2ADE" w14:paraId="5A82715C" w14:textId="77777777">
            <w:pPr>
              <w:jc w:val="center"/>
            </w:pPr>
            <w:r>
              <w:t>3</w:t>
            </w:r>
          </w:p>
        </w:tc>
        <w:tc>
          <w:tcPr>
            <w:tcW w:w="1500" w:type="dxa"/>
          </w:tcPr>
          <w:p w:rsidR="00DD2ADE" w14:paraId="5943BDBF" w14:textId="77777777">
            <w:pPr>
              <w:jc w:val="center"/>
            </w:pPr>
            <w:r>
              <w:t>23%</w:t>
            </w:r>
          </w:p>
        </w:tc>
      </w:tr>
    </w:tbl>
    <w:p w:rsidR="00DD2ADE" w14:paraId="3F9ADCCD" w14:textId="77777777">
      <w:pPr>
        <w:spacing w:before="120"/>
      </w:pPr>
      <w:r>
        <w:rPr>
          <w:noProof/>
        </w:rPr>
        <w:drawing>
          <wp:inline distT="0" distB="0" distL="0" distR="0">
            <wp:extent cx="5905500" cy="2790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ADE" w14:paraId="33156968" w14:textId="77777777">
      <w:r>
        <w:rPr>
          <w:b/>
          <w:bCs/>
          <w:i/>
          <w:iCs/>
        </w:rPr>
        <w:t xml:space="preserve">Takeaway: </w:t>
      </w:r>
      <w:r>
        <w:rPr>
          <w:i/>
          <w:iCs/>
        </w:rPr>
        <w:t>Governance/recordkeeping application is by far the top priority, followed by practical tools and confidence-building. Basic AI literacy is a lower priority — most respondents feel past that stage.</w:t>
      </w:r>
    </w:p>
    <w:p w:rsidR="00DD2ADE" w14:paraId="577998D1" w14:textId="77777777">
      <w:pPr>
        <w:pStyle w:val="Heading2"/>
        <w:spacing w:before="300" w:after="120"/>
      </w:pPr>
      <w:r>
        <w:t>2. What session formats would be most engaging?</w:t>
      </w:r>
    </w:p>
    <w:p w:rsidR="00DD2ADE" w14:paraId="6EE86230" w14:textId="77777777">
      <w:pPr>
        <w:spacing w:after="160"/>
      </w:pPr>
      <w:r>
        <w:t>15 respondents, multiple selections allowed.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000"/>
        <w:gridCol w:w="1500"/>
        <w:gridCol w:w="1500"/>
      </w:tblGrid>
      <w:tr w14:paraId="49C65CDB" w14:textId="77777777">
        <w:tblPrEx>
          <w:tblW w:w="90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blHeader/>
        </w:trPr>
        <w:tc>
          <w:tcPr>
            <w:tcW w:w="6000" w:type="dxa"/>
            <w:shd w:val="clear" w:color="auto" w:fill="2F5496"/>
          </w:tcPr>
          <w:p w:rsidR="00DD2ADE" w14:paraId="640BCA97" w14:textId="77777777">
            <w:r>
              <w:rPr>
                <w:b/>
                <w:bCs/>
                <w:color w:val="FFFFFF"/>
              </w:rPr>
              <w:t>Response</w:t>
            </w:r>
          </w:p>
        </w:tc>
        <w:tc>
          <w:tcPr>
            <w:tcW w:w="1500" w:type="dxa"/>
            <w:shd w:val="clear" w:color="auto" w:fill="2F5496"/>
          </w:tcPr>
          <w:p w:rsidR="00DD2ADE" w14:paraId="3367E623" w14:textId="77777777">
            <w:r>
              <w:rPr>
                <w:b/>
                <w:bCs/>
                <w:color w:val="FFFFFF"/>
              </w:rPr>
              <w:t>Votes</w:t>
            </w:r>
          </w:p>
        </w:tc>
        <w:tc>
          <w:tcPr>
            <w:tcW w:w="1500" w:type="dxa"/>
            <w:shd w:val="clear" w:color="auto" w:fill="2F5496"/>
          </w:tcPr>
          <w:p w:rsidR="00DD2ADE" w14:paraId="33F49A0B" w14:textId="77777777">
            <w:r>
              <w:rPr>
                <w:b/>
                <w:bCs/>
                <w:color w:val="FFFFFF"/>
              </w:rPr>
              <w:t>%</w:t>
            </w:r>
          </w:p>
        </w:tc>
      </w:tr>
      <w:tr w14:paraId="28F8C917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59E514A0" w14:textId="77777777">
            <w:r>
              <w:t>Short expert inputs followed by discussion</w:t>
            </w:r>
          </w:p>
        </w:tc>
        <w:tc>
          <w:tcPr>
            <w:tcW w:w="1500" w:type="dxa"/>
          </w:tcPr>
          <w:p w:rsidR="00DD2ADE" w14:paraId="44551A83" w14:textId="77777777">
            <w:pPr>
              <w:jc w:val="center"/>
            </w:pPr>
            <w:r>
              <w:t>9</w:t>
            </w:r>
          </w:p>
        </w:tc>
        <w:tc>
          <w:tcPr>
            <w:tcW w:w="1500" w:type="dxa"/>
          </w:tcPr>
          <w:p w:rsidR="00DD2ADE" w14:paraId="0FE6EC02" w14:textId="77777777">
            <w:pPr>
              <w:jc w:val="center"/>
            </w:pPr>
            <w:r>
              <w:t>60%</w:t>
            </w:r>
          </w:p>
        </w:tc>
      </w:tr>
      <w:tr w14:paraId="1BB2747E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6B475251" w14:textId="77777777">
            <w:r>
              <w:t>Practitioner case studies</w:t>
            </w:r>
          </w:p>
        </w:tc>
        <w:tc>
          <w:tcPr>
            <w:tcW w:w="1500" w:type="dxa"/>
          </w:tcPr>
          <w:p w:rsidR="00DD2ADE" w14:paraId="2A2DDAE6" w14:textId="77777777">
            <w:pPr>
              <w:jc w:val="center"/>
            </w:pPr>
            <w:r>
              <w:t>9</w:t>
            </w:r>
          </w:p>
        </w:tc>
        <w:tc>
          <w:tcPr>
            <w:tcW w:w="1500" w:type="dxa"/>
          </w:tcPr>
          <w:p w:rsidR="00DD2ADE" w14:paraId="3C336B91" w14:textId="77777777">
            <w:pPr>
              <w:jc w:val="center"/>
            </w:pPr>
            <w:r>
              <w:t>60%</w:t>
            </w:r>
          </w:p>
        </w:tc>
      </w:tr>
      <w:tr w14:paraId="7229A942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282BBEF2" w14:textId="77777777">
            <w:r>
              <w:t>Guided group discussion</w:t>
            </w:r>
          </w:p>
        </w:tc>
        <w:tc>
          <w:tcPr>
            <w:tcW w:w="1500" w:type="dxa"/>
          </w:tcPr>
          <w:p w:rsidR="00DD2ADE" w14:paraId="31491418" w14:textId="77777777">
            <w:pPr>
              <w:jc w:val="center"/>
            </w:pPr>
            <w:r>
              <w:t>9</w:t>
            </w:r>
          </w:p>
        </w:tc>
        <w:tc>
          <w:tcPr>
            <w:tcW w:w="1500" w:type="dxa"/>
          </w:tcPr>
          <w:p w:rsidR="00DD2ADE" w14:paraId="5B94AFD0" w14:textId="77777777">
            <w:pPr>
              <w:jc w:val="center"/>
            </w:pPr>
            <w:r>
              <w:t>60%</w:t>
            </w:r>
          </w:p>
        </w:tc>
      </w:tr>
      <w:tr w14:paraId="3A9EDFB4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434F3BFE" w14:textId="77777777">
            <w:r>
              <w:t>Open Q&amp;A / “bring your problem” sessions</w:t>
            </w:r>
          </w:p>
        </w:tc>
        <w:tc>
          <w:tcPr>
            <w:tcW w:w="1500" w:type="dxa"/>
          </w:tcPr>
          <w:p w:rsidR="00DD2ADE" w14:paraId="51BD5238" w14:textId="77777777">
            <w:pPr>
              <w:jc w:val="center"/>
            </w:pPr>
            <w:r>
              <w:t>8</w:t>
            </w:r>
          </w:p>
        </w:tc>
        <w:tc>
          <w:tcPr>
            <w:tcW w:w="1500" w:type="dxa"/>
          </w:tcPr>
          <w:p w:rsidR="00DD2ADE" w14:paraId="67080B1A" w14:textId="77777777">
            <w:pPr>
              <w:jc w:val="center"/>
            </w:pPr>
            <w:r>
              <w:t>53%</w:t>
            </w:r>
          </w:p>
        </w:tc>
      </w:tr>
      <w:tr w14:paraId="2C571DBD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7BF8CE82" w14:textId="77777777">
            <w:r>
              <w:t>Scenario based problem solving</w:t>
            </w:r>
          </w:p>
        </w:tc>
        <w:tc>
          <w:tcPr>
            <w:tcW w:w="1500" w:type="dxa"/>
          </w:tcPr>
          <w:p w:rsidR="00DD2ADE" w14:paraId="1317546E" w14:textId="77777777">
            <w:pPr>
              <w:jc w:val="center"/>
            </w:pPr>
            <w:r>
              <w:t>5</w:t>
            </w:r>
          </w:p>
        </w:tc>
        <w:tc>
          <w:tcPr>
            <w:tcW w:w="1500" w:type="dxa"/>
          </w:tcPr>
          <w:p w:rsidR="00DD2ADE" w14:paraId="010EB58A" w14:textId="77777777">
            <w:pPr>
              <w:jc w:val="center"/>
            </w:pPr>
            <w:r>
              <w:t>33%</w:t>
            </w:r>
          </w:p>
        </w:tc>
      </w:tr>
      <w:tr w14:paraId="14462354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251CB4C1" w14:textId="77777777">
            <w:r>
              <w:t>Panel sessions</w:t>
            </w:r>
          </w:p>
        </w:tc>
        <w:tc>
          <w:tcPr>
            <w:tcW w:w="1500" w:type="dxa"/>
          </w:tcPr>
          <w:p w:rsidR="00DD2ADE" w14:paraId="594F0DF7" w14:textId="77777777">
            <w:pPr>
              <w:jc w:val="center"/>
            </w:pPr>
            <w:r>
              <w:t>2</w:t>
            </w:r>
          </w:p>
        </w:tc>
        <w:tc>
          <w:tcPr>
            <w:tcW w:w="1500" w:type="dxa"/>
          </w:tcPr>
          <w:p w:rsidR="00DD2ADE" w14:paraId="48D7A79E" w14:textId="77777777">
            <w:pPr>
              <w:jc w:val="center"/>
            </w:pPr>
            <w:r>
              <w:t>13%</w:t>
            </w:r>
          </w:p>
        </w:tc>
      </w:tr>
    </w:tbl>
    <w:p w:rsidR="00DD2ADE" w14:paraId="61C61991" w14:textId="77777777">
      <w:pPr>
        <w:spacing w:before="120"/>
      </w:pPr>
      <w:r>
        <w:rPr>
          <w:noProof/>
        </w:rPr>
        <w:drawing>
          <wp:inline distT="0" distB="0" distL="0" distR="0">
            <wp:extent cx="5905500" cy="2790825"/>
            <wp:effectExtent l="0" t="0" r="0" b="0"/>
            <wp:docPr id="1647308616" name="Picture 1647308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08616" name="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ADE" w14:paraId="07CFB788" w14:textId="77777777">
      <w:r>
        <w:rPr>
          <w:b/>
          <w:bCs/>
          <w:i/>
          <w:iCs/>
        </w:rPr>
        <w:t xml:space="preserve">Takeaway: </w:t>
      </w:r>
      <w:r>
        <w:rPr>
          <w:i/>
          <w:iCs/>
        </w:rPr>
        <w:t>A three-way tie for top format suggests a mixed-format session structure (short input → case study → discussion) would suit the group best. Panels are clearly the least popular format.</w:t>
      </w:r>
    </w:p>
    <w:p w:rsidR="00DD2ADE" w14:paraId="46C08671" w14:textId="77777777">
      <w:pPr>
        <w:pStyle w:val="Heading2"/>
        <w:spacing w:before="300" w:after="120"/>
      </w:pPr>
      <w:r>
        <w:t>3. Which topics should the CoP explore over the next few sessions?</w:t>
      </w:r>
    </w:p>
    <w:p w:rsidR="00DD2ADE" w14:paraId="62F27311" w14:textId="77777777">
      <w:pPr>
        <w:spacing w:after="160"/>
      </w:pPr>
      <w:r>
        <w:t>15 respondents, multiple selections allowed.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000"/>
        <w:gridCol w:w="1500"/>
        <w:gridCol w:w="1500"/>
      </w:tblGrid>
      <w:tr w14:paraId="52923305" w14:textId="77777777">
        <w:tblPrEx>
          <w:tblW w:w="90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blHeader/>
        </w:trPr>
        <w:tc>
          <w:tcPr>
            <w:tcW w:w="6000" w:type="dxa"/>
            <w:shd w:val="clear" w:color="auto" w:fill="2F5496"/>
          </w:tcPr>
          <w:p w:rsidR="00DD2ADE" w14:paraId="0A354119" w14:textId="77777777">
            <w:r>
              <w:rPr>
                <w:b/>
                <w:bCs/>
                <w:color w:val="FFFFFF"/>
              </w:rPr>
              <w:t>Response</w:t>
            </w:r>
          </w:p>
        </w:tc>
        <w:tc>
          <w:tcPr>
            <w:tcW w:w="1500" w:type="dxa"/>
            <w:shd w:val="clear" w:color="auto" w:fill="2F5496"/>
          </w:tcPr>
          <w:p w:rsidR="00DD2ADE" w14:paraId="380F2177" w14:textId="77777777">
            <w:r>
              <w:rPr>
                <w:b/>
                <w:bCs/>
                <w:color w:val="FFFFFF"/>
              </w:rPr>
              <w:t>Votes</w:t>
            </w:r>
          </w:p>
        </w:tc>
        <w:tc>
          <w:tcPr>
            <w:tcW w:w="1500" w:type="dxa"/>
            <w:shd w:val="clear" w:color="auto" w:fill="2F5496"/>
          </w:tcPr>
          <w:p w:rsidR="00DD2ADE" w14:paraId="3783B3B7" w14:textId="77777777">
            <w:r>
              <w:rPr>
                <w:b/>
                <w:bCs/>
                <w:color w:val="FFFFFF"/>
              </w:rPr>
              <w:t>%</w:t>
            </w:r>
          </w:p>
        </w:tc>
      </w:tr>
      <w:tr w14:paraId="539A2220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4DBC21DB" w14:textId="77777777">
            <w:r>
              <w:t>Governance models for AI use</w:t>
            </w:r>
          </w:p>
        </w:tc>
        <w:tc>
          <w:tcPr>
            <w:tcW w:w="1500" w:type="dxa"/>
          </w:tcPr>
          <w:p w:rsidR="00DD2ADE" w14:paraId="456B9CA2" w14:textId="77777777">
            <w:pPr>
              <w:jc w:val="center"/>
            </w:pPr>
            <w:r>
              <w:t>12</w:t>
            </w:r>
          </w:p>
        </w:tc>
        <w:tc>
          <w:tcPr>
            <w:tcW w:w="1500" w:type="dxa"/>
          </w:tcPr>
          <w:p w:rsidR="00DD2ADE" w14:paraId="4C64D708" w14:textId="77777777">
            <w:pPr>
              <w:jc w:val="center"/>
            </w:pPr>
            <w:r>
              <w:t>80%</w:t>
            </w:r>
          </w:p>
        </w:tc>
      </w:tr>
      <w:tr w14:paraId="356D81F5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5B1C05C2" w14:textId="77777777">
            <w:r>
              <w:t>Record creation, capture and retention in AI-enabled systems</w:t>
            </w:r>
          </w:p>
        </w:tc>
        <w:tc>
          <w:tcPr>
            <w:tcW w:w="1500" w:type="dxa"/>
          </w:tcPr>
          <w:p w:rsidR="00DD2ADE" w14:paraId="5D15BF0A" w14:textId="77777777">
            <w:pPr>
              <w:jc w:val="center"/>
            </w:pPr>
            <w:r>
              <w:t>9</w:t>
            </w:r>
          </w:p>
        </w:tc>
        <w:tc>
          <w:tcPr>
            <w:tcW w:w="1500" w:type="dxa"/>
          </w:tcPr>
          <w:p w:rsidR="00DD2ADE" w14:paraId="264EBB20" w14:textId="77777777">
            <w:pPr>
              <w:jc w:val="center"/>
            </w:pPr>
            <w:r>
              <w:t>60%</w:t>
            </w:r>
          </w:p>
        </w:tc>
      </w:tr>
      <w:tr w14:paraId="62B698B5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451F6AD9" w14:textId="77777777">
            <w:r>
              <w:t>Mapping AI practices to standards and legislation</w:t>
            </w:r>
          </w:p>
        </w:tc>
        <w:tc>
          <w:tcPr>
            <w:tcW w:w="1500" w:type="dxa"/>
          </w:tcPr>
          <w:p w:rsidR="00DD2ADE" w14:paraId="6152CE50" w14:textId="77777777">
            <w:pPr>
              <w:jc w:val="center"/>
            </w:pPr>
            <w:r>
              <w:t>9</w:t>
            </w:r>
          </w:p>
        </w:tc>
        <w:tc>
          <w:tcPr>
            <w:tcW w:w="1500" w:type="dxa"/>
          </w:tcPr>
          <w:p w:rsidR="00DD2ADE" w14:paraId="40C1B7D7" w14:textId="77777777">
            <w:pPr>
              <w:jc w:val="center"/>
            </w:pPr>
            <w:r>
              <w:t>60%</w:t>
            </w:r>
          </w:p>
        </w:tc>
      </w:tr>
      <w:tr w14:paraId="01F6D334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120D3D49" w14:textId="77777777">
            <w:r>
              <w:t>Accountability, auditability and explainability</w:t>
            </w:r>
          </w:p>
        </w:tc>
        <w:tc>
          <w:tcPr>
            <w:tcW w:w="1500" w:type="dxa"/>
          </w:tcPr>
          <w:p w:rsidR="00DD2ADE" w14:paraId="20F4D1B8" w14:textId="77777777">
            <w:pPr>
              <w:jc w:val="center"/>
            </w:pPr>
            <w:r>
              <w:t>5</w:t>
            </w:r>
          </w:p>
        </w:tc>
        <w:tc>
          <w:tcPr>
            <w:tcW w:w="1500" w:type="dxa"/>
          </w:tcPr>
          <w:p w:rsidR="00DD2ADE" w14:paraId="6B1E3C29" w14:textId="77777777">
            <w:pPr>
              <w:jc w:val="center"/>
            </w:pPr>
            <w:r>
              <w:t>33%</w:t>
            </w:r>
          </w:p>
        </w:tc>
      </w:tr>
      <w:tr w14:paraId="4C55DF0C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7511315A" w14:textId="77777777">
            <w:r>
              <w:t>Procurement and vendor claims</w:t>
            </w:r>
          </w:p>
        </w:tc>
        <w:tc>
          <w:tcPr>
            <w:tcW w:w="1500" w:type="dxa"/>
          </w:tcPr>
          <w:p w:rsidR="00DD2ADE" w14:paraId="2F9F4422" w14:textId="77777777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DD2ADE" w14:paraId="0C058F44" w14:textId="77777777">
            <w:pPr>
              <w:jc w:val="center"/>
            </w:pPr>
            <w:r>
              <w:t>27%</w:t>
            </w:r>
          </w:p>
        </w:tc>
      </w:tr>
      <w:tr w14:paraId="00B4D300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155AA3CE" w14:textId="77777777">
            <w:r>
              <w:t>Managing risk and assurance</w:t>
            </w:r>
          </w:p>
        </w:tc>
        <w:tc>
          <w:tcPr>
            <w:tcW w:w="1500" w:type="dxa"/>
          </w:tcPr>
          <w:p w:rsidR="00DD2ADE" w14:paraId="514AE483" w14:textId="77777777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DD2ADE" w14:paraId="412D44CA" w14:textId="77777777">
            <w:pPr>
              <w:jc w:val="center"/>
            </w:pPr>
            <w:r>
              <w:t>27%</w:t>
            </w:r>
          </w:p>
        </w:tc>
      </w:tr>
      <w:tr w14:paraId="3E676550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340F63C5" w14:textId="77777777">
            <w:r>
              <w:t>Developing organisational guidance</w:t>
            </w:r>
          </w:p>
        </w:tc>
        <w:tc>
          <w:tcPr>
            <w:tcW w:w="1500" w:type="dxa"/>
          </w:tcPr>
          <w:p w:rsidR="00DD2ADE" w14:paraId="4D733BF5" w14:textId="77777777">
            <w:pPr>
              <w:jc w:val="center"/>
            </w:pPr>
            <w:r>
              <w:t>3</w:t>
            </w:r>
          </w:p>
        </w:tc>
        <w:tc>
          <w:tcPr>
            <w:tcW w:w="1500" w:type="dxa"/>
          </w:tcPr>
          <w:p w:rsidR="00DD2ADE" w14:paraId="58CFFE9B" w14:textId="77777777">
            <w:pPr>
              <w:jc w:val="center"/>
            </w:pPr>
            <w:r>
              <w:t>20%</w:t>
            </w:r>
          </w:p>
        </w:tc>
      </w:tr>
    </w:tbl>
    <w:p w:rsidR="00DD2ADE" w14:paraId="1FA68236" w14:textId="77777777">
      <w:pPr>
        <w:spacing w:before="120"/>
      </w:pPr>
      <w:r>
        <w:rPr>
          <w:noProof/>
        </w:rPr>
        <w:drawing>
          <wp:inline distT="0" distB="0" distL="0" distR="0">
            <wp:extent cx="5905500" cy="3152775"/>
            <wp:effectExtent l="0" t="0" r="0" b="0"/>
            <wp:docPr id="2006293847" name="Picture 2006293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293847" name="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ADE" w14:paraId="51DE046B" w14:textId="77777777">
      <w:r>
        <w:rPr>
          <w:b/>
          <w:bCs/>
          <w:i/>
          <w:iCs/>
        </w:rPr>
        <w:t xml:space="preserve">Takeaway: </w:t>
      </w:r>
      <w:r>
        <w:rPr>
          <w:i/>
          <w:iCs/>
        </w:rPr>
        <w:t>Consistent with Question 1 — governance is the clear number one topic, with recordkeeping-specific practice and standards/legislation mapping close behind.</w:t>
      </w:r>
    </w:p>
    <w:p w:rsidR="00DD2ADE" w14:paraId="4D5C5C8E" w14:textId="77777777">
      <w:pPr>
        <w:pStyle w:val="Heading2"/>
        <w:spacing w:before="300" w:after="120"/>
      </w:pPr>
      <w:r>
        <w:t>4. What would help you feel comfortable contributing to discussions?</w:t>
      </w:r>
    </w:p>
    <w:p w:rsidR="00DD2ADE" w14:paraId="6B578BB3" w14:textId="77777777">
      <w:pPr>
        <w:spacing w:after="160"/>
      </w:pPr>
      <w:r>
        <w:t>15 respondents, multiple selections allowed.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000"/>
        <w:gridCol w:w="1500"/>
        <w:gridCol w:w="1500"/>
      </w:tblGrid>
      <w:tr w14:paraId="6EA8B03D" w14:textId="77777777">
        <w:tblPrEx>
          <w:tblW w:w="90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blHeader/>
        </w:trPr>
        <w:tc>
          <w:tcPr>
            <w:tcW w:w="6000" w:type="dxa"/>
            <w:shd w:val="clear" w:color="auto" w:fill="2F5496"/>
          </w:tcPr>
          <w:p w:rsidR="00DD2ADE" w14:paraId="1897433F" w14:textId="77777777">
            <w:r>
              <w:rPr>
                <w:b/>
                <w:bCs/>
                <w:color w:val="FFFFFF"/>
              </w:rPr>
              <w:t>Response</w:t>
            </w:r>
          </w:p>
        </w:tc>
        <w:tc>
          <w:tcPr>
            <w:tcW w:w="1500" w:type="dxa"/>
            <w:shd w:val="clear" w:color="auto" w:fill="2F5496"/>
          </w:tcPr>
          <w:p w:rsidR="00DD2ADE" w14:paraId="7DFB8D0B" w14:textId="77777777">
            <w:r>
              <w:rPr>
                <w:b/>
                <w:bCs/>
                <w:color w:val="FFFFFF"/>
              </w:rPr>
              <w:t>Votes</w:t>
            </w:r>
          </w:p>
        </w:tc>
        <w:tc>
          <w:tcPr>
            <w:tcW w:w="1500" w:type="dxa"/>
            <w:shd w:val="clear" w:color="auto" w:fill="2F5496"/>
          </w:tcPr>
          <w:p w:rsidR="00DD2ADE" w14:paraId="365ED1F0" w14:textId="77777777">
            <w:r>
              <w:rPr>
                <w:b/>
                <w:bCs/>
                <w:color w:val="FFFFFF"/>
              </w:rPr>
              <w:t>%</w:t>
            </w:r>
          </w:p>
        </w:tc>
      </w:tr>
      <w:tr w14:paraId="61DE4B72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587DFC02" w14:textId="77777777">
            <w:r>
              <w:t>Already comfortable contributing</w:t>
            </w:r>
          </w:p>
        </w:tc>
        <w:tc>
          <w:tcPr>
            <w:tcW w:w="1500" w:type="dxa"/>
          </w:tcPr>
          <w:p w:rsidR="00DD2ADE" w14:paraId="7439CFA3" w14:textId="77777777">
            <w:pPr>
              <w:jc w:val="center"/>
            </w:pPr>
            <w:r>
              <w:t>12</w:t>
            </w:r>
          </w:p>
        </w:tc>
        <w:tc>
          <w:tcPr>
            <w:tcW w:w="1500" w:type="dxa"/>
          </w:tcPr>
          <w:p w:rsidR="00DD2ADE" w14:paraId="68DF842B" w14:textId="77777777">
            <w:pPr>
              <w:jc w:val="center"/>
            </w:pPr>
            <w:r>
              <w:t>80%</w:t>
            </w:r>
          </w:p>
        </w:tc>
      </w:tr>
      <w:tr w14:paraId="50953313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28014ED9" w14:textId="77777777">
            <w:r>
              <w:t>Clear framing questions</w:t>
            </w:r>
          </w:p>
        </w:tc>
        <w:tc>
          <w:tcPr>
            <w:tcW w:w="1500" w:type="dxa"/>
          </w:tcPr>
          <w:p w:rsidR="00DD2ADE" w14:paraId="553AAD07" w14:textId="77777777">
            <w:pPr>
              <w:jc w:val="center"/>
            </w:pPr>
            <w:r>
              <w:t>7</w:t>
            </w:r>
          </w:p>
        </w:tc>
        <w:tc>
          <w:tcPr>
            <w:tcW w:w="1500" w:type="dxa"/>
          </w:tcPr>
          <w:p w:rsidR="00DD2ADE" w14:paraId="470CC959" w14:textId="77777777">
            <w:pPr>
              <w:jc w:val="center"/>
            </w:pPr>
            <w:r>
              <w:t>47%</w:t>
            </w:r>
          </w:p>
        </w:tc>
      </w:tr>
      <w:tr w14:paraId="1471DD4A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06D52E48" w14:textId="77777777">
            <w:r>
              <w:t>Being able to contribute via chat</w:t>
            </w:r>
          </w:p>
        </w:tc>
        <w:tc>
          <w:tcPr>
            <w:tcW w:w="1500" w:type="dxa"/>
          </w:tcPr>
          <w:p w:rsidR="00DD2ADE" w14:paraId="3B5D337C" w14:textId="77777777">
            <w:pPr>
              <w:jc w:val="center"/>
            </w:pPr>
            <w:r>
              <w:t>7</w:t>
            </w:r>
          </w:p>
        </w:tc>
        <w:tc>
          <w:tcPr>
            <w:tcW w:w="1500" w:type="dxa"/>
          </w:tcPr>
          <w:p w:rsidR="00DD2ADE" w14:paraId="018CDFC9" w14:textId="77777777">
            <w:pPr>
              <w:jc w:val="center"/>
            </w:pPr>
            <w:r>
              <w:t>47%</w:t>
            </w:r>
          </w:p>
        </w:tc>
      </w:tr>
      <w:tr w14:paraId="461E00DB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6F432D5B" w14:textId="77777777">
            <w:r>
              <w:t>Knowing views won’t be attributed</w:t>
            </w:r>
          </w:p>
        </w:tc>
        <w:tc>
          <w:tcPr>
            <w:tcW w:w="1500" w:type="dxa"/>
          </w:tcPr>
          <w:p w:rsidR="00DD2ADE" w14:paraId="7F3000B7" w14:textId="77777777">
            <w:pPr>
              <w:jc w:val="center"/>
            </w:pPr>
            <w:r>
              <w:t>5</w:t>
            </w:r>
          </w:p>
        </w:tc>
        <w:tc>
          <w:tcPr>
            <w:tcW w:w="1500" w:type="dxa"/>
          </w:tcPr>
          <w:p w:rsidR="00DD2ADE" w14:paraId="6F98706D" w14:textId="77777777">
            <w:pPr>
              <w:jc w:val="center"/>
            </w:pPr>
            <w:r>
              <w:t>33%</w:t>
            </w:r>
          </w:p>
        </w:tc>
      </w:tr>
      <w:tr w14:paraId="19214FFD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0813A3C2" w14:textId="77777777">
            <w:r>
              <w:t>Smaller group or breakout discussions</w:t>
            </w:r>
          </w:p>
        </w:tc>
        <w:tc>
          <w:tcPr>
            <w:tcW w:w="1500" w:type="dxa"/>
          </w:tcPr>
          <w:p w:rsidR="00DD2ADE" w14:paraId="747E06EA" w14:textId="77777777">
            <w:pPr>
              <w:jc w:val="center"/>
            </w:pPr>
            <w:r>
              <w:t>3</w:t>
            </w:r>
          </w:p>
        </w:tc>
        <w:tc>
          <w:tcPr>
            <w:tcW w:w="1500" w:type="dxa"/>
          </w:tcPr>
          <w:p w:rsidR="00DD2ADE" w14:paraId="21DC3D1D" w14:textId="77777777">
            <w:pPr>
              <w:jc w:val="center"/>
            </w:pPr>
            <w:r>
              <w:t>20%</w:t>
            </w:r>
          </w:p>
        </w:tc>
      </w:tr>
      <w:tr w14:paraId="3CD3A7FC" w14:textId="77777777">
        <w:tblPrEx>
          <w:tblW w:w="90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6000" w:type="dxa"/>
          </w:tcPr>
          <w:p w:rsidR="00DD2ADE" w14:paraId="2E065735" w14:textId="77777777">
            <w:r>
              <w:t>Hearing examples before being asked to comment</w:t>
            </w:r>
          </w:p>
        </w:tc>
        <w:tc>
          <w:tcPr>
            <w:tcW w:w="1500" w:type="dxa"/>
          </w:tcPr>
          <w:p w:rsidR="00DD2ADE" w14:paraId="444C4BDE" w14:textId="77777777">
            <w:pPr>
              <w:jc w:val="center"/>
            </w:pPr>
            <w:r>
              <w:t>3</w:t>
            </w:r>
          </w:p>
        </w:tc>
        <w:tc>
          <w:tcPr>
            <w:tcW w:w="1500" w:type="dxa"/>
          </w:tcPr>
          <w:p w:rsidR="00DD2ADE" w14:paraId="3E0765A8" w14:textId="77777777">
            <w:pPr>
              <w:jc w:val="center"/>
            </w:pPr>
            <w:r>
              <w:t>20%</w:t>
            </w:r>
          </w:p>
        </w:tc>
      </w:tr>
    </w:tbl>
    <w:p w:rsidR="00DD2ADE" w14:paraId="1EE0531A" w14:textId="77777777">
      <w:pPr>
        <w:spacing w:before="120"/>
      </w:pPr>
      <w:r>
        <w:rPr>
          <w:noProof/>
        </w:rPr>
        <w:drawing>
          <wp:inline distT="0" distB="0" distL="0" distR="0">
            <wp:extent cx="5905500" cy="2790825"/>
            <wp:effectExtent l="0" t="0" r="0" b="0"/>
            <wp:docPr id="2029129943" name="Picture 2029129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29943" name="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ADE" w14:paraId="1EE0DD25" w14:textId="77777777">
      <w:r>
        <w:rPr>
          <w:b/>
          <w:bCs/>
          <w:i/>
          <w:iCs/>
        </w:rPr>
        <w:t xml:space="preserve">Takeaway: </w:t>
      </w:r>
      <w:r>
        <w:rPr>
          <w:i/>
          <w:iCs/>
        </w:rPr>
        <w:t>Most feel comfortable already, but a meaningful minority would engage more with anonymity/non-attribution, chat options, and clearer framing — worth building in as light-touch facilitation options rather than defaults.</w:t>
      </w:r>
    </w:p>
    <w:p w:rsidR="00DD2ADE" w14:paraId="33909FF8" w14:textId="77777777">
      <w:pPr>
        <w:pStyle w:val="Heading2"/>
        <w:spacing w:before="300" w:after="120"/>
      </w:pPr>
      <w:r>
        <w:t xml:space="preserve">5. Is there one thing you </w:t>
      </w:r>
      <w:r>
        <w:t>definitely don’t</w:t>
      </w:r>
      <w:r>
        <w:t xml:space="preserve"> want this CoP to become?</w:t>
      </w:r>
    </w:p>
    <w:p w:rsidR="00DD2ADE" w14:paraId="4E55CA87" w14:textId="77777777">
      <w:pPr>
        <w:spacing w:after="160"/>
      </w:pPr>
      <w:r>
        <w:t>13 respondents, open text. Responses clustered around three themes:</w:t>
      </w:r>
    </w:p>
    <w:p w:rsidR="00DD2ADE" w14:paraId="4C478A4A" w14:textId="77777777">
      <w:pPr>
        <w:pStyle w:val="Heading3"/>
        <w:spacing w:before="200" w:after="100"/>
      </w:pPr>
      <w:r>
        <w:t>Lack of direction or purpose</w:t>
      </w:r>
    </w:p>
    <w:p w:rsidR="00DD2ADE" w14:paraId="6F910C47" w14:textId="77777777">
      <w:pPr>
        <w:pStyle w:val="ListParagraph"/>
        <w:numPr>
          <w:ilvl w:val="0"/>
          <w:numId w:val="2"/>
        </w:numPr>
        <w:spacing w:after="60"/>
      </w:pPr>
      <w:r>
        <w:t>“Aimless” (x2)</w:t>
      </w:r>
    </w:p>
    <w:p w:rsidR="00DD2ADE" w14:paraId="2A90E001" w14:textId="77777777">
      <w:pPr>
        <w:pStyle w:val="ListParagraph"/>
        <w:numPr>
          <w:ilvl w:val="0"/>
          <w:numId w:val="2"/>
        </w:numPr>
        <w:spacing w:after="60"/>
      </w:pPr>
      <w:r>
        <w:t>“A group without a clear purpose and plan”</w:t>
      </w:r>
    </w:p>
    <w:p w:rsidR="00DD2ADE" w14:paraId="12EE4289" w14:textId="77777777">
      <w:pPr>
        <w:pStyle w:val="ListParagraph"/>
        <w:numPr>
          <w:ilvl w:val="0"/>
          <w:numId w:val="2"/>
        </w:numPr>
        <w:spacing w:after="60"/>
      </w:pPr>
      <w:r>
        <w:t>“Irrelevant”</w:t>
      </w:r>
    </w:p>
    <w:p w:rsidR="00DD2ADE" w14:paraId="597B2FC6" w14:textId="77777777">
      <w:pPr>
        <w:pStyle w:val="ListParagraph"/>
        <w:numPr>
          <w:ilvl w:val="0"/>
          <w:numId w:val="2"/>
        </w:numPr>
        <w:spacing w:after="60"/>
      </w:pPr>
      <w:r>
        <w:t>“Roadmap”</w:t>
      </w:r>
    </w:p>
    <w:p w:rsidR="00DD2ADE" w14:paraId="65E4ACFF" w14:textId="77777777">
      <w:pPr>
        <w:pStyle w:val="ListParagraph"/>
        <w:numPr>
          <w:ilvl w:val="0"/>
          <w:numId w:val="2"/>
        </w:numPr>
        <w:spacing w:after="60"/>
      </w:pPr>
      <w:r>
        <w:t>“A goat rodeo”</w:t>
      </w:r>
    </w:p>
    <w:p w:rsidR="00DD2ADE" w14:paraId="10CDAC53" w14:textId="77777777">
      <w:pPr>
        <w:pStyle w:val="Heading3"/>
        <w:spacing w:before="200" w:after="100"/>
      </w:pPr>
      <w:r>
        <w:t>Repetitive talk without action</w:t>
      </w:r>
    </w:p>
    <w:p w:rsidR="00DD2ADE" w14:paraId="3D589F07" w14:textId="77777777">
      <w:pPr>
        <w:pStyle w:val="ListParagraph"/>
        <w:numPr>
          <w:ilvl w:val="0"/>
          <w:numId w:val="2"/>
        </w:numPr>
        <w:spacing w:after="60"/>
      </w:pPr>
      <w:r>
        <w:t>“Chat fest on the same topics over and over”</w:t>
      </w:r>
    </w:p>
    <w:p w:rsidR="00DD2ADE" w14:paraId="0BD9B633" w14:textId="77777777">
      <w:pPr>
        <w:pStyle w:val="ListParagraph"/>
        <w:numPr>
          <w:ilvl w:val="0"/>
          <w:numId w:val="2"/>
        </w:numPr>
        <w:spacing w:after="60"/>
      </w:pPr>
      <w:r>
        <w:t>“Whinge-fest”</w:t>
      </w:r>
    </w:p>
    <w:p w:rsidR="00DD2ADE" w14:paraId="3A2F7029" w14:textId="77777777">
      <w:pPr>
        <w:pStyle w:val="ListParagraph"/>
        <w:numPr>
          <w:ilvl w:val="0"/>
          <w:numId w:val="2"/>
        </w:numPr>
        <w:spacing w:after="60"/>
      </w:pPr>
      <w:r>
        <w:t>“No complaining, more how do we do it”</w:t>
      </w:r>
    </w:p>
    <w:p w:rsidR="00DD2ADE" w14:paraId="48EEA01F" w14:textId="77777777">
      <w:pPr>
        <w:pStyle w:val="ListParagraph"/>
        <w:numPr>
          <w:ilvl w:val="0"/>
          <w:numId w:val="2"/>
        </w:numPr>
        <w:spacing w:after="60"/>
      </w:pPr>
      <w:r>
        <w:t>“Educational”</w:t>
      </w:r>
    </w:p>
    <w:p w:rsidR="00DD2ADE" w14:paraId="0581AD31" w14:textId="77777777">
      <w:pPr>
        <w:pStyle w:val="Heading3"/>
        <w:spacing w:before="200" w:after="100"/>
      </w:pPr>
      <w:r>
        <w:t>Bias or agenda-driven</w:t>
      </w:r>
    </w:p>
    <w:p w:rsidR="00DD2ADE" w14:paraId="5ADDE1CD" w14:textId="77777777">
      <w:pPr>
        <w:pStyle w:val="ListParagraph"/>
        <w:numPr>
          <w:ilvl w:val="0"/>
          <w:numId w:val="2"/>
        </w:numPr>
        <w:spacing w:after="60"/>
      </w:pPr>
      <w:r>
        <w:t>“An endorsement of AI”</w:t>
      </w:r>
    </w:p>
    <w:p w:rsidR="00DD2ADE" w14:paraId="0D2C6DBC" w14:textId="77777777">
      <w:pPr>
        <w:pStyle w:val="ListParagraph"/>
        <w:numPr>
          <w:ilvl w:val="0"/>
          <w:numId w:val="2"/>
        </w:numPr>
        <w:spacing w:after="60"/>
      </w:pPr>
      <w:r>
        <w:t>“Sales pitch”</w:t>
      </w:r>
    </w:p>
    <w:p w:rsidR="00DD2ADE" w14:paraId="7C7A8D3A" w14:textId="77777777">
      <w:pPr>
        <w:pStyle w:val="ListParagraph"/>
        <w:numPr>
          <w:ilvl w:val="0"/>
          <w:numId w:val="2"/>
        </w:numPr>
        <w:spacing w:after="60"/>
      </w:pPr>
      <w:r>
        <w:t>“Compliance heavy”</w:t>
      </w:r>
    </w:p>
    <w:p w:rsidR="00DD2ADE" w14:paraId="0488D24D" w14:textId="77777777">
      <w:pPr>
        <w:spacing w:before="120"/>
      </w:pPr>
      <w:r>
        <w:rPr>
          <w:noProof/>
        </w:rPr>
        <w:drawing>
          <wp:inline distT="0" distB="0" distL="0" distR="0">
            <wp:extent cx="5905500" cy="3705225"/>
            <wp:effectExtent l="0" t="0" r="0" b="0"/>
            <wp:docPr id="1753832317" name="Picture 1753832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32317" name="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ADE" w14:paraId="0FF87A90" w14:textId="77777777">
      <w:r>
        <w:rPr>
          <w:b/>
          <w:bCs/>
          <w:i/>
          <w:iCs/>
        </w:rPr>
        <w:t xml:space="preserve">Takeaway: </w:t>
      </w:r>
      <w:r>
        <w:rPr>
          <w:i/>
          <w:iCs/>
        </w:rPr>
        <w:t>Participants want a purposeful, balanced, action-oriented group — not a repetitive gripe session, a compliance lecture, or an AI cheerleading squad.</w:t>
      </w:r>
    </w:p>
    <w:p w:rsidR="00DD2ADE" w14:paraId="4A82AEB1" w14:textId="77777777">
      <w:pPr>
        <w:pStyle w:val="Heading2"/>
        <w:spacing w:before="300" w:after="120"/>
      </w:pPr>
      <w:r>
        <w:t>Overall synthesis</w:t>
      </w:r>
    </w:p>
    <w:p w:rsidR="00DD2ADE" w14:paraId="1274A7FA" w14:textId="77777777">
      <w:pPr>
        <w:spacing w:after="160"/>
      </w:pPr>
      <w:r>
        <w:t>There is strong alignment across all four multiple-choice questions: governance and recordkeeping application is the clear top priority, both for support needed and topics to cover. The group wants varied, interactive session formats rather than lecture- or panel-heavy sessions, and while most are comfortable speaking up, offering chat-based and anonymous input options would broaden participation. The open-text answers reinforce that the CoP needs a clear purpose and practical focus to avoid becoming repeti</w:t>
      </w:r>
      <w:r>
        <w:t>tive, compliance-heavy, or agenda-driven.</w:t>
      </w:r>
    </w:p>
    <w:sectPr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044757"/>
    <w:multiLevelType w:val="hybridMultilevel"/>
    <w:tmpl w:val="0E9858E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560F3F04"/>
    <w:multiLevelType w:val="hybridMultilevel"/>
    <w:tmpl w:val="91C0E858"/>
    <w:lvl w:ilvl="0">
      <w:start w:val="1"/>
      <w:numFmt w:val="bullet"/>
      <w:lvlText w:val="•"/>
      <w:lvlJc w:val="left"/>
      <w:pPr>
        <w:ind w:left="480" w:hanging="24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1816294222">
    <w:abstractNumId w:val="0"/>
    <w:lvlOverride w:ilvl="0">
      <w:startOverride w:val="1"/>
    </w:lvlOverride>
  </w:num>
  <w:num w:numId="2" w16cid:durableId="139685935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ADE"/>
    <w:rsid w:val="0036192E"/>
    <w:rsid w:val="00386E5E"/>
    <w:rsid w:val="00451C26"/>
    <w:rsid w:val="00DD2ADE"/>
    <w:rsid w:val="00DF2B94"/>
  </w:rsids>
  <m:mathPr>
    <m:mathFont m:val="Cambria Math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596DF3"/>
  <w15:docId w15:val="{10838006-1974-4456-9317-886678B1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192E"/>
  </w:style>
  <w:style w:type="paragraph" w:styleId="Heading1">
    <w:name w:val="heading 1"/>
    <w:basedOn w:val="Normal"/>
    <w:next w:val="Normal"/>
    <w:link w:val="Heading1Char"/>
    <w:uiPriority w:val="9"/>
    <w:qFormat/>
    <w:rsid w:val="0036192E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192E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192E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92E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92E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92E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92E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92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92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6192E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customStyle="1" w:styleId="Strong1">
    <w:name w:val="Strong1"/>
    <w:rPr>
      <w:b/>
      <w:bCs/>
    </w:rPr>
  </w:style>
  <w:style w:type="paragraph" w:styleId="ListParagraph">
    <w:name w:val="List Paragraph"/>
    <w:uiPriority w:val="34"/>
    <w:qFormat/>
    <w:pPr>
      <w:ind w:left="720"/>
      <w:contextualSpacing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6192E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36192E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36192E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92E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92E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92E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92E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92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92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192E"/>
    <w:rPr>
      <w:b/>
      <w:bCs/>
      <w:color w:val="0F4761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36192E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92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6192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6192E"/>
    <w:rPr>
      <w:b/>
      <w:bCs/>
    </w:rPr>
  </w:style>
  <w:style w:type="character" w:styleId="Emphasis">
    <w:name w:val="Emphasis"/>
    <w:uiPriority w:val="20"/>
    <w:qFormat/>
    <w:rsid w:val="0036192E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36192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6192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6192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92E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92E"/>
    <w:rPr>
      <w:color w:val="156082" w:themeColor="accent1"/>
      <w:sz w:val="24"/>
      <w:szCs w:val="24"/>
    </w:rPr>
  </w:style>
  <w:style w:type="character" w:styleId="SubtleEmphasis">
    <w:name w:val="Subtle Emphasis"/>
    <w:uiPriority w:val="19"/>
    <w:qFormat/>
    <w:rsid w:val="0036192E"/>
    <w:rPr>
      <w:i/>
      <w:iCs/>
      <w:color w:val="0A2F40" w:themeColor="accent1" w:themeShade="7F"/>
    </w:rPr>
  </w:style>
  <w:style w:type="character" w:styleId="IntenseEmphasis">
    <w:name w:val="Intense Emphasis"/>
    <w:uiPriority w:val="21"/>
    <w:qFormat/>
    <w:rsid w:val="0036192E"/>
    <w:rPr>
      <w:b/>
      <w:bCs/>
      <w:caps/>
      <w:color w:val="0A2F40" w:themeColor="accent1" w:themeShade="7F"/>
      <w:spacing w:val="10"/>
    </w:rPr>
  </w:style>
  <w:style w:type="character" w:styleId="SubtleReference">
    <w:name w:val="Subtle Reference"/>
    <w:uiPriority w:val="31"/>
    <w:qFormat/>
    <w:rsid w:val="0036192E"/>
    <w:rPr>
      <w:b/>
      <w:bCs/>
      <w:color w:val="156082" w:themeColor="accent1"/>
    </w:rPr>
  </w:style>
  <w:style w:type="character" w:styleId="IntenseReference">
    <w:name w:val="Intense Reference"/>
    <w:uiPriority w:val="32"/>
    <w:qFormat/>
    <w:rsid w:val="0036192E"/>
    <w:rPr>
      <w:b/>
      <w:bCs/>
      <w:i/>
      <w:iCs/>
      <w:caps/>
      <w:color w:val="156082" w:themeColor="accent1"/>
    </w:rPr>
  </w:style>
  <w:style w:type="character" w:styleId="BookTitle">
    <w:name w:val="Book Title"/>
    <w:uiPriority w:val="33"/>
    <w:qFormat/>
    <w:rsid w:val="0036192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192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590</Words>
  <Characters>3341</Characters>
  <Application>Microsoft Office Word</Application>
  <DocSecurity>0</DocSecurity>
  <Lines>0</Lines>
  <Paragraphs>122</Paragraphs>
  <ScaleCrop>false</ScaleCrop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2026-07-22T22:25:08Z</dcterms:created>
</cp:coreProperties>
</file>